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7A" w:rsidRPr="00FD6D87" w:rsidRDefault="00D6787A" w:rsidP="00D6787A">
      <w:pPr>
        <w:spacing w:before="100" w:beforeAutospacing="1" w:after="100" w:afterAutospacing="1" w:line="240" w:lineRule="auto"/>
        <w:rPr>
          <w:rFonts w:ascii="Verdana" w:eastAsiaTheme="majorEastAsia" w:hAnsi="Verdana" w:cs="Times New Roman"/>
          <w:b/>
          <w:bCs/>
          <w:color w:val="000000"/>
          <w:sz w:val="32"/>
          <w:szCs w:val="32"/>
          <w:lang w:eastAsia="tr-TR"/>
        </w:rPr>
      </w:pPr>
      <w:r w:rsidRPr="00FD6D87">
        <w:rPr>
          <w:rFonts w:ascii="Verdana" w:eastAsiaTheme="majorEastAsia" w:hAnsi="Verdana" w:cs="Times New Roman"/>
          <w:bCs/>
          <w:color w:val="000000"/>
          <w:sz w:val="32"/>
          <w:szCs w:val="32"/>
          <w:lang w:eastAsia="tr-TR"/>
        </w:rPr>
        <w:t xml:space="preserve">                                              </w:t>
      </w:r>
      <w:r w:rsidR="00D5562A">
        <w:rPr>
          <w:rFonts w:ascii="Verdana" w:eastAsiaTheme="majorEastAsia" w:hAnsi="Verdana" w:cs="Times New Roman"/>
          <w:b/>
          <w:bCs/>
          <w:color w:val="000000"/>
          <w:sz w:val="32"/>
          <w:szCs w:val="32"/>
          <w:lang w:eastAsia="tr-TR"/>
        </w:rPr>
        <w:t>İstanbul, 01.02.2016</w:t>
      </w:r>
    </w:p>
    <w:p w:rsidR="00D6787A" w:rsidRPr="00FD6D87" w:rsidRDefault="00D5562A" w:rsidP="00D6787A">
      <w:pPr>
        <w:spacing w:before="100" w:beforeAutospacing="1" w:after="100" w:afterAutospacing="1" w:line="240" w:lineRule="auto"/>
        <w:rPr>
          <w:rFonts w:ascii="Verdana" w:eastAsiaTheme="majorEastAsia" w:hAnsi="Verdana" w:cs="Times New Roman"/>
          <w:b/>
          <w:bCs/>
          <w:color w:val="000000"/>
          <w:sz w:val="32"/>
          <w:szCs w:val="32"/>
          <w:lang w:eastAsia="tr-TR"/>
        </w:rPr>
      </w:pPr>
      <w:r>
        <w:rPr>
          <w:rFonts w:ascii="Verdana" w:eastAsiaTheme="majorEastAsia" w:hAnsi="Verdana" w:cs="Times New Roman"/>
          <w:b/>
          <w:bCs/>
          <w:color w:val="000000"/>
          <w:sz w:val="32"/>
          <w:szCs w:val="32"/>
          <w:lang w:eastAsia="tr-TR"/>
        </w:rPr>
        <w:t>Sirküler No: 2016-17</w:t>
      </w:r>
    </w:p>
    <w:p w:rsidR="00D6787A" w:rsidRPr="000709E0" w:rsidRDefault="00D6787A" w:rsidP="00D6787A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FD6D87">
        <w:rPr>
          <w:rFonts w:asciiTheme="majorHAnsi" w:eastAsiaTheme="majorEastAsia" w:hAnsiTheme="majorHAnsi" w:cstheme="majorBidi"/>
          <w:b/>
          <w:bCs/>
          <w:sz w:val="32"/>
          <w:szCs w:val="32"/>
        </w:rPr>
        <w:t>Çeklerde Bankaların Sorumlu Olduğu Miktarı Yeniden Belirleyen Tebliğ Yayımlandı</w:t>
      </w:r>
    </w:p>
    <w:p w:rsidR="00FA34E6" w:rsidRDefault="00FA34E6" w:rsidP="00D6787A">
      <w:pPr>
        <w:rPr>
          <w:rFonts w:ascii="Arial" w:hAnsi="Arial" w:cs="Arial"/>
        </w:rPr>
      </w:pPr>
    </w:p>
    <w:p w:rsidR="00D6787A" w:rsidRPr="00594B94" w:rsidRDefault="00D6787A" w:rsidP="00D6787A">
      <w:pPr>
        <w:rPr>
          <w:rFonts w:ascii="Arial" w:hAnsi="Arial" w:cs="Arial"/>
        </w:rPr>
      </w:pPr>
      <w:r w:rsidRPr="00594B94">
        <w:rPr>
          <w:rFonts w:ascii="Arial" w:hAnsi="Arial" w:cs="Arial"/>
        </w:rPr>
        <w:t>Türkiye Cumhuriyet</w:t>
      </w:r>
      <w:r>
        <w:rPr>
          <w:rFonts w:ascii="Arial" w:hAnsi="Arial" w:cs="Arial"/>
        </w:rPr>
        <w:t>i</w:t>
      </w:r>
      <w:r w:rsidRPr="00594B94">
        <w:rPr>
          <w:rFonts w:ascii="Arial" w:hAnsi="Arial" w:cs="Arial"/>
        </w:rPr>
        <w:t xml:space="preserve"> Merkez </w:t>
      </w:r>
      <w:r w:rsidR="00E92832">
        <w:rPr>
          <w:rFonts w:ascii="Arial" w:hAnsi="Arial" w:cs="Arial"/>
        </w:rPr>
        <w:t>Bankası tarafından 23</w:t>
      </w:r>
      <w:r>
        <w:rPr>
          <w:rFonts w:ascii="Arial" w:hAnsi="Arial" w:cs="Arial"/>
        </w:rPr>
        <w:t xml:space="preserve"> Ocak 2016</w:t>
      </w:r>
      <w:r>
        <w:rPr>
          <w:rFonts w:ascii="Arial" w:hAnsi="Arial" w:cs="Arial"/>
        </w:rPr>
        <w:t xml:space="preserve"> tarihli ve </w:t>
      </w:r>
      <w:r w:rsidRPr="00E92832">
        <w:rPr>
          <w:rFonts w:ascii="Arial" w:hAnsi="Arial" w:cs="Arial"/>
        </w:rPr>
        <w:t>29</w:t>
      </w:r>
      <w:r w:rsidR="00E92832">
        <w:rPr>
          <w:rFonts w:ascii="Arial" w:hAnsi="Arial" w:cs="Arial"/>
        </w:rPr>
        <w:t>602</w:t>
      </w:r>
      <w:r w:rsidRPr="00D6787A">
        <w:rPr>
          <w:rFonts w:ascii="Arial" w:hAnsi="Arial" w:cs="Arial"/>
          <w:b/>
        </w:rPr>
        <w:t xml:space="preserve"> </w:t>
      </w:r>
      <w:r w:rsidRPr="00594B94">
        <w:rPr>
          <w:rFonts w:ascii="Arial" w:hAnsi="Arial" w:cs="Arial"/>
        </w:rPr>
        <w:t xml:space="preserve">sayılı Resmi Gazete’de “Çek Defterlerinin Baskı Şekline, Bankaların Hamile Ödemekle Yükümlü Olduğu Miktar ile Çek Düzenleme ve Çek Hesabı Açma Yasağı Kararlarının Bildirilmesine ve Duyurulmasına İlişkin Tebliğ (Sayı: 2010/2)’de Değişiklik Yapılmasına Dair Tebliğ </w:t>
      </w:r>
      <w:r>
        <w:rPr>
          <w:rFonts w:ascii="Arial" w:hAnsi="Arial" w:cs="Arial"/>
        </w:rPr>
        <w:t>(</w:t>
      </w:r>
      <w:r w:rsidR="001E22D4">
        <w:rPr>
          <w:rFonts w:ascii="Arial" w:hAnsi="Arial" w:cs="Arial"/>
        </w:rPr>
        <w:t>Sayı: 2016</w:t>
      </w:r>
      <w:r w:rsidRPr="001E22D4">
        <w:rPr>
          <w:rFonts w:ascii="Arial" w:hAnsi="Arial" w:cs="Arial"/>
        </w:rPr>
        <w:t>/1</w:t>
      </w:r>
      <w:r w:rsidRPr="00594B94">
        <w:rPr>
          <w:rFonts w:ascii="Arial" w:hAnsi="Arial" w:cs="Arial"/>
        </w:rPr>
        <w:t>)” yayımlandı.</w:t>
      </w:r>
      <w:r>
        <w:rPr>
          <w:rFonts w:ascii="Arial" w:hAnsi="Arial" w:cs="Arial"/>
        </w:rPr>
        <w:t>Yapılan düzenlemeler 25 Ocak 2016</w:t>
      </w:r>
      <w:r w:rsidRPr="00594B94">
        <w:rPr>
          <w:rFonts w:ascii="Arial" w:hAnsi="Arial" w:cs="Arial"/>
        </w:rPr>
        <w:t xml:space="preserve"> tarihi itibariyle yürürlüğe girecektir.</w:t>
      </w:r>
      <w:r>
        <w:rPr>
          <w:rFonts w:ascii="Arial" w:hAnsi="Arial" w:cs="Arial"/>
        </w:rPr>
        <w:t>İlgili Tebliğ ile;</w:t>
      </w:r>
    </w:p>
    <w:p w:rsidR="00D6787A" w:rsidRPr="00594B94" w:rsidRDefault="00D6787A" w:rsidP="00D6787A">
      <w:pPr>
        <w:rPr>
          <w:rFonts w:ascii="Arial" w:hAnsi="Arial" w:cs="Arial"/>
        </w:rPr>
      </w:pPr>
      <w:r w:rsidRPr="00594B94">
        <w:rPr>
          <w:rFonts w:ascii="Arial" w:hAnsi="Arial" w:cs="Arial"/>
        </w:rPr>
        <w:t xml:space="preserve"> </w:t>
      </w:r>
      <w:r w:rsidRPr="00594B94">
        <w:rPr>
          <w:rFonts w:ascii="Arial" w:hAnsi="Arial" w:cs="Arial"/>
          <w:b/>
        </w:rPr>
        <w:t>1-)</w:t>
      </w:r>
      <w:r w:rsidRPr="00594B94">
        <w:rPr>
          <w:rFonts w:ascii="Arial" w:hAnsi="Arial" w:cs="Arial"/>
        </w:rPr>
        <w:t xml:space="preserve"> Bankanın sorumlu olduğu miktar başlıklı 4 üncü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maddesinde yer alan “bin</w:t>
      </w:r>
      <w:r w:rsidR="00BF2D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iki</w:t>
      </w:r>
      <w:r w:rsidR="00BF2D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yüz</w:t>
      </w:r>
      <w:r w:rsidRPr="00594B94">
        <w:rPr>
          <w:rFonts w:ascii="Arial" w:hAnsi="Arial" w:cs="Arial"/>
        </w:rPr>
        <w:t xml:space="preserve"> Türk Lirası” ibareleri </w:t>
      </w:r>
      <w:r>
        <w:rPr>
          <w:rFonts w:ascii="Arial" w:hAnsi="Arial" w:cs="Arial"/>
          <w:u w:val="single"/>
        </w:rPr>
        <w:t>“bin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iki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yüz</w:t>
      </w:r>
      <w:r>
        <w:rPr>
          <w:rFonts w:ascii="Arial" w:hAnsi="Arial" w:cs="Arial"/>
          <w:u w:val="single"/>
        </w:rPr>
        <w:t xml:space="preserve"> doksan</w:t>
      </w:r>
      <w:r>
        <w:rPr>
          <w:rFonts w:ascii="Arial" w:hAnsi="Arial" w:cs="Arial"/>
          <w:u w:val="single"/>
        </w:rPr>
        <w:t xml:space="preserve"> </w:t>
      </w:r>
      <w:r w:rsidRPr="003151FA">
        <w:rPr>
          <w:rFonts w:ascii="Arial" w:hAnsi="Arial" w:cs="Arial"/>
          <w:u w:val="single"/>
        </w:rPr>
        <w:t>Türk Lir</w:t>
      </w:r>
      <w:r>
        <w:rPr>
          <w:rFonts w:ascii="Arial" w:hAnsi="Arial" w:cs="Arial"/>
          <w:u w:val="single"/>
        </w:rPr>
        <w:t>ası (1.29</w:t>
      </w:r>
      <w:r w:rsidRPr="003151FA">
        <w:rPr>
          <w:rFonts w:ascii="Arial" w:hAnsi="Arial" w:cs="Arial"/>
          <w:u w:val="single"/>
        </w:rPr>
        <w:t>0 TL)”</w:t>
      </w:r>
      <w:r w:rsidRPr="00594B94">
        <w:rPr>
          <w:rFonts w:ascii="Arial" w:hAnsi="Arial" w:cs="Arial"/>
        </w:rPr>
        <w:t xml:space="preserve"> olarak değiştirilmiştir.</w:t>
      </w:r>
    </w:p>
    <w:p w:rsidR="00D6787A" w:rsidRPr="00594B94" w:rsidRDefault="00D6787A" w:rsidP="00D6787A">
      <w:pPr>
        <w:rPr>
          <w:rFonts w:ascii="Arial" w:hAnsi="Arial" w:cs="Arial"/>
        </w:rPr>
      </w:pPr>
      <w:r w:rsidRPr="00594B94">
        <w:rPr>
          <w:rFonts w:ascii="Arial" w:hAnsi="Arial" w:cs="Arial"/>
        </w:rPr>
        <w:t xml:space="preserve">Buna göre, muhatap banka, ibraz eden düzenleyici dışındaki hamile, süresinde ibraz edilen her çek yaprağı için; </w:t>
      </w:r>
    </w:p>
    <w:p w:rsidR="00D6787A" w:rsidRPr="00594B94" w:rsidRDefault="00D6787A" w:rsidP="00D6787A">
      <w:pPr>
        <w:rPr>
          <w:rFonts w:ascii="Arial" w:hAnsi="Arial" w:cs="Arial"/>
        </w:rPr>
      </w:pPr>
      <w:r w:rsidRPr="00594B94">
        <w:rPr>
          <w:rFonts w:ascii="Arial" w:hAnsi="Arial" w:cs="Arial"/>
          <w:b/>
        </w:rPr>
        <w:t>a)</w:t>
      </w:r>
      <w:r w:rsidRPr="00594B94">
        <w:rPr>
          <w:rFonts w:ascii="Arial" w:hAnsi="Arial" w:cs="Arial"/>
        </w:rPr>
        <w:t xml:space="preserve"> Karşılığının hiç bulunmaması halinde,</w:t>
      </w:r>
    </w:p>
    <w:p w:rsidR="00D6787A" w:rsidRPr="00594B94" w:rsidRDefault="00D6787A" w:rsidP="00D6787A">
      <w:pPr>
        <w:rPr>
          <w:rFonts w:ascii="Arial" w:hAnsi="Arial" w:cs="Arial"/>
        </w:rPr>
      </w:pPr>
      <w:r>
        <w:rPr>
          <w:rFonts w:ascii="Arial" w:hAnsi="Arial" w:cs="Arial"/>
          <w:b/>
        </w:rPr>
        <w:t>ı</w:t>
      </w:r>
      <w:r w:rsidRPr="00594B94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Çek bedeli </w:t>
      </w:r>
      <w:r w:rsidRPr="00D6787A">
        <w:rPr>
          <w:rFonts w:ascii="Arial" w:hAnsi="Arial" w:cs="Arial"/>
        </w:rPr>
        <w:t>bin</w:t>
      </w:r>
      <w:r>
        <w:rPr>
          <w:rFonts w:ascii="Arial" w:hAnsi="Arial" w:cs="Arial"/>
        </w:rPr>
        <w:t xml:space="preserve"> </w:t>
      </w:r>
      <w:r w:rsidRPr="00D6787A">
        <w:rPr>
          <w:rFonts w:ascii="Arial" w:hAnsi="Arial" w:cs="Arial"/>
        </w:rPr>
        <w:t>iki</w:t>
      </w:r>
      <w:r>
        <w:rPr>
          <w:rFonts w:ascii="Arial" w:hAnsi="Arial" w:cs="Arial"/>
        </w:rPr>
        <w:t xml:space="preserve"> </w:t>
      </w:r>
      <w:r w:rsidRPr="00D6787A">
        <w:rPr>
          <w:rFonts w:ascii="Arial" w:hAnsi="Arial" w:cs="Arial"/>
        </w:rPr>
        <w:t>yüz doksan</w:t>
      </w:r>
      <w:r w:rsidRPr="00594B94">
        <w:rPr>
          <w:rFonts w:ascii="Arial" w:hAnsi="Arial" w:cs="Arial"/>
        </w:rPr>
        <w:t xml:space="preserve"> Türk Lirası veya üzerinde ise </w:t>
      </w:r>
      <w:r w:rsidR="007708FD" w:rsidRPr="00D6787A">
        <w:rPr>
          <w:rFonts w:ascii="Arial" w:hAnsi="Arial" w:cs="Arial"/>
        </w:rPr>
        <w:t>bin</w:t>
      </w:r>
      <w:r w:rsidR="007708FD">
        <w:rPr>
          <w:rFonts w:ascii="Arial" w:hAnsi="Arial" w:cs="Arial"/>
        </w:rPr>
        <w:t xml:space="preserve"> </w:t>
      </w:r>
      <w:r w:rsidR="007708FD" w:rsidRPr="00D6787A">
        <w:rPr>
          <w:rFonts w:ascii="Arial" w:hAnsi="Arial" w:cs="Arial"/>
        </w:rPr>
        <w:t>iki</w:t>
      </w:r>
      <w:r w:rsidR="007708FD">
        <w:rPr>
          <w:rFonts w:ascii="Arial" w:hAnsi="Arial" w:cs="Arial"/>
        </w:rPr>
        <w:t xml:space="preserve"> </w:t>
      </w:r>
      <w:r w:rsidR="007708FD" w:rsidRPr="00D6787A">
        <w:rPr>
          <w:rFonts w:ascii="Arial" w:hAnsi="Arial" w:cs="Arial"/>
        </w:rPr>
        <w:t>yüz doksan</w:t>
      </w:r>
      <w:r w:rsidRPr="00594B94">
        <w:rPr>
          <w:rFonts w:ascii="Arial" w:hAnsi="Arial" w:cs="Arial"/>
        </w:rPr>
        <w:t xml:space="preserve"> Türk Lirası,</w:t>
      </w:r>
    </w:p>
    <w:p w:rsidR="00D6787A" w:rsidRPr="00D64AE6" w:rsidRDefault="00D6787A" w:rsidP="00D6787A">
      <w:pPr>
        <w:rPr>
          <w:rFonts w:ascii="Arial" w:hAnsi="Arial" w:cs="Arial"/>
        </w:rPr>
      </w:pPr>
      <w:r>
        <w:rPr>
          <w:rFonts w:ascii="Arial" w:hAnsi="Arial" w:cs="Arial"/>
          <w:b/>
        </w:rPr>
        <w:t>ıı</w:t>
      </w:r>
      <w:r w:rsidRPr="00594B94">
        <w:rPr>
          <w:rFonts w:ascii="Arial" w:hAnsi="Arial" w:cs="Arial"/>
          <w:b/>
        </w:rPr>
        <w:t>)</w:t>
      </w:r>
      <w:r w:rsidRPr="00594B94">
        <w:rPr>
          <w:rFonts w:ascii="Arial" w:hAnsi="Arial" w:cs="Arial"/>
        </w:rPr>
        <w:t xml:space="preserve"> Çek bedeli </w:t>
      </w:r>
      <w:r w:rsidR="007708FD" w:rsidRPr="00D6787A">
        <w:rPr>
          <w:rFonts w:ascii="Arial" w:hAnsi="Arial" w:cs="Arial"/>
        </w:rPr>
        <w:t>bin</w:t>
      </w:r>
      <w:r w:rsidR="007708FD">
        <w:rPr>
          <w:rFonts w:ascii="Arial" w:hAnsi="Arial" w:cs="Arial"/>
        </w:rPr>
        <w:t xml:space="preserve"> </w:t>
      </w:r>
      <w:r w:rsidR="007708FD" w:rsidRPr="00D6787A">
        <w:rPr>
          <w:rFonts w:ascii="Arial" w:hAnsi="Arial" w:cs="Arial"/>
        </w:rPr>
        <w:t>iki</w:t>
      </w:r>
      <w:r w:rsidR="007708FD">
        <w:rPr>
          <w:rFonts w:ascii="Arial" w:hAnsi="Arial" w:cs="Arial"/>
        </w:rPr>
        <w:t xml:space="preserve"> </w:t>
      </w:r>
      <w:r w:rsidR="007708FD" w:rsidRPr="00D6787A">
        <w:rPr>
          <w:rFonts w:ascii="Arial" w:hAnsi="Arial" w:cs="Arial"/>
        </w:rPr>
        <w:t>yüz doksan</w:t>
      </w:r>
      <w:r w:rsidRPr="00594B94">
        <w:rPr>
          <w:rFonts w:ascii="Arial" w:hAnsi="Arial" w:cs="Arial"/>
        </w:rPr>
        <w:t xml:space="preserve"> Türk Lirasının altında ise çek bedelini,</w:t>
      </w:r>
    </w:p>
    <w:p w:rsidR="00D6787A" w:rsidRPr="00594B94" w:rsidRDefault="00D6787A" w:rsidP="00D6787A">
      <w:pPr>
        <w:rPr>
          <w:rFonts w:ascii="Arial" w:hAnsi="Arial" w:cs="Arial"/>
        </w:rPr>
      </w:pPr>
      <w:r w:rsidRPr="00594B94">
        <w:rPr>
          <w:rFonts w:ascii="Arial" w:hAnsi="Arial" w:cs="Arial"/>
          <w:b/>
        </w:rPr>
        <w:t>b)</w:t>
      </w:r>
      <w:r w:rsidRPr="00594B94">
        <w:rPr>
          <w:rFonts w:ascii="Arial" w:hAnsi="Arial" w:cs="Arial"/>
        </w:rPr>
        <w:t xml:space="preserve"> Karşılığının kısmen bulunması halinde,</w:t>
      </w:r>
    </w:p>
    <w:p w:rsidR="00D6787A" w:rsidRPr="00594B94" w:rsidRDefault="00D6787A" w:rsidP="00D6787A">
      <w:pPr>
        <w:rPr>
          <w:rFonts w:ascii="Arial" w:hAnsi="Arial" w:cs="Arial"/>
        </w:rPr>
      </w:pPr>
      <w:r>
        <w:rPr>
          <w:rFonts w:ascii="Arial" w:hAnsi="Arial" w:cs="Arial"/>
          <w:b/>
        </w:rPr>
        <w:t>ı</w:t>
      </w:r>
      <w:r w:rsidRPr="00594B94">
        <w:rPr>
          <w:rFonts w:ascii="Arial" w:hAnsi="Arial" w:cs="Arial"/>
          <w:b/>
        </w:rPr>
        <w:t>)</w:t>
      </w:r>
      <w:r w:rsidRPr="00594B94">
        <w:rPr>
          <w:rFonts w:ascii="Arial" w:hAnsi="Arial" w:cs="Arial"/>
        </w:rPr>
        <w:t xml:space="preserve"> Çek bedeli </w:t>
      </w:r>
      <w:r w:rsidR="007708FD" w:rsidRPr="00D6787A">
        <w:rPr>
          <w:rFonts w:ascii="Arial" w:hAnsi="Arial" w:cs="Arial"/>
        </w:rPr>
        <w:t>bin</w:t>
      </w:r>
      <w:r w:rsidR="007708FD">
        <w:rPr>
          <w:rFonts w:ascii="Arial" w:hAnsi="Arial" w:cs="Arial"/>
        </w:rPr>
        <w:t xml:space="preserve"> </w:t>
      </w:r>
      <w:r w:rsidR="007708FD" w:rsidRPr="00D6787A">
        <w:rPr>
          <w:rFonts w:ascii="Arial" w:hAnsi="Arial" w:cs="Arial"/>
        </w:rPr>
        <w:t>iki</w:t>
      </w:r>
      <w:r w:rsidR="007708FD">
        <w:rPr>
          <w:rFonts w:ascii="Arial" w:hAnsi="Arial" w:cs="Arial"/>
        </w:rPr>
        <w:t xml:space="preserve"> </w:t>
      </w:r>
      <w:r w:rsidR="007708FD" w:rsidRPr="00D6787A">
        <w:rPr>
          <w:rFonts w:ascii="Arial" w:hAnsi="Arial" w:cs="Arial"/>
        </w:rPr>
        <w:t>yüz doksan</w:t>
      </w:r>
      <w:r w:rsidRPr="00594B94">
        <w:rPr>
          <w:rFonts w:ascii="Arial" w:hAnsi="Arial" w:cs="Arial"/>
        </w:rPr>
        <w:t xml:space="preserve"> Türk Lirası veya altında ise çek bedelini aşmamak koşuluyla, kısmi karşılığı </w:t>
      </w:r>
      <w:r w:rsidR="007708FD" w:rsidRPr="00D6787A">
        <w:rPr>
          <w:rFonts w:ascii="Arial" w:hAnsi="Arial" w:cs="Arial"/>
        </w:rPr>
        <w:t>bin</w:t>
      </w:r>
      <w:r w:rsidR="007708FD">
        <w:rPr>
          <w:rFonts w:ascii="Arial" w:hAnsi="Arial" w:cs="Arial"/>
        </w:rPr>
        <w:t xml:space="preserve"> </w:t>
      </w:r>
      <w:r w:rsidR="007708FD" w:rsidRPr="00D6787A">
        <w:rPr>
          <w:rFonts w:ascii="Arial" w:hAnsi="Arial" w:cs="Arial"/>
        </w:rPr>
        <w:t>iki</w:t>
      </w:r>
      <w:r w:rsidR="007708FD">
        <w:rPr>
          <w:rFonts w:ascii="Arial" w:hAnsi="Arial" w:cs="Arial"/>
        </w:rPr>
        <w:t xml:space="preserve"> </w:t>
      </w:r>
      <w:r w:rsidR="007708FD" w:rsidRPr="00D6787A">
        <w:rPr>
          <w:rFonts w:ascii="Arial" w:hAnsi="Arial" w:cs="Arial"/>
        </w:rPr>
        <w:t>yüz doksan</w:t>
      </w:r>
      <w:r w:rsidRPr="00594B94">
        <w:rPr>
          <w:rFonts w:ascii="Arial" w:hAnsi="Arial" w:cs="Arial"/>
        </w:rPr>
        <w:t xml:space="preserve"> Türk Lirasına tamamlayacak bir miktarı,</w:t>
      </w:r>
    </w:p>
    <w:p w:rsidR="00D6787A" w:rsidRPr="00594B94" w:rsidRDefault="00D6787A" w:rsidP="00D6787A">
      <w:pPr>
        <w:rPr>
          <w:rFonts w:ascii="Arial" w:hAnsi="Arial" w:cs="Arial"/>
        </w:rPr>
      </w:pPr>
      <w:r>
        <w:rPr>
          <w:rFonts w:ascii="Arial" w:hAnsi="Arial" w:cs="Arial"/>
          <w:b/>
        </w:rPr>
        <w:t>ıı</w:t>
      </w:r>
      <w:r w:rsidRPr="00594B94">
        <w:rPr>
          <w:rFonts w:ascii="Arial" w:hAnsi="Arial" w:cs="Arial"/>
          <w:b/>
        </w:rPr>
        <w:t>)</w:t>
      </w:r>
      <w:r w:rsidRPr="00594B94">
        <w:rPr>
          <w:rFonts w:ascii="Arial" w:hAnsi="Arial" w:cs="Arial"/>
        </w:rPr>
        <w:t xml:space="preserve"> Çek bedeli </w:t>
      </w:r>
      <w:r w:rsidR="007708FD" w:rsidRPr="00D6787A">
        <w:rPr>
          <w:rFonts w:ascii="Arial" w:hAnsi="Arial" w:cs="Arial"/>
        </w:rPr>
        <w:t>bin</w:t>
      </w:r>
      <w:r w:rsidR="007708FD">
        <w:rPr>
          <w:rFonts w:ascii="Arial" w:hAnsi="Arial" w:cs="Arial"/>
        </w:rPr>
        <w:t xml:space="preserve"> </w:t>
      </w:r>
      <w:r w:rsidR="007708FD" w:rsidRPr="00D6787A">
        <w:rPr>
          <w:rFonts w:ascii="Arial" w:hAnsi="Arial" w:cs="Arial"/>
        </w:rPr>
        <w:t>iki</w:t>
      </w:r>
      <w:r w:rsidR="007708FD">
        <w:rPr>
          <w:rFonts w:ascii="Arial" w:hAnsi="Arial" w:cs="Arial"/>
        </w:rPr>
        <w:t xml:space="preserve"> </w:t>
      </w:r>
      <w:r w:rsidR="007708FD" w:rsidRPr="00D6787A">
        <w:rPr>
          <w:rFonts w:ascii="Arial" w:hAnsi="Arial" w:cs="Arial"/>
        </w:rPr>
        <w:t>yüz doksan</w:t>
      </w:r>
      <w:r>
        <w:rPr>
          <w:rFonts w:ascii="Arial" w:hAnsi="Arial" w:cs="Arial"/>
        </w:rPr>
        <w:t xml:space="preserve"> </w:t>
      </w:r>
      <w:r w:rsidRPr="00594B94">
        <w:rPr>
          <w:rFonts w:ascii="Arial" w:hAnsi="Arial" w:cs="Arial"/>
        </w:rPr>
        <w:t xml:space="preserve">Türk Lirasının üzerinde ise çek bedelini aşmamak koşuluyla, kısmi karşılığa ilave olarak </w:t>
      </w:r>
      <w:r w:rsidR="003A1FE0" w:rsidRPr="00D6787A">
        <w:rPr>
          <w:rFonts w:ascii="Arial" w:hAnsi="Arial" w:cs="Arial"/>
        </w:rPr>
        <w:t>bin</w:t>
      </w:r>
      <w:r w:rsidR="003A1FE0">
        <w:rPr>
          <w:rFonts w:ascii="Arial" w:hAnsi="Arial" w:cs="Arial"/>
        </w:rPr>
        <w:t xml:space="preserve"> </w:t>
      </w:r>
      <w:r w:rsidR="003A1FE0" w:rsidRPr="00D6787A">
        <w:rPr>
          <w:rFonts w:ascii="Arial" w:hAnsi="Arial" w:cs="Arial"/>
        </w:rPr>
        <w:t>iki</w:t>
      </w:r>
      <w:r w:rsidR="003A1FE0">
        <w:rPr>
          <w:rFonts w:ascii="Arial" w:hAnsi="Arial" w:cs="Arial"/>
        </w:rPr>
        <w:t xml:space="preserve"> </w:t>
      </w:r>
      <w:r w:rsidR="003A1FE0" w:rsidRPr="00D6787A">
        <w:rPr>
          <w:rFonts w:ascii="Arial" w:hAnsi="Arial" w:cs="Arial"/>
        </w:rPr>
        <w:t>yüz doksan</w:t>
      </w:r>
      <w:r w:rsidR="003A1FE0">
        <w:rPr>
          <w:rFonts w:ascii="Arial" w:hAnsi="Arial" w:cs="Arial"/>
        </w:rPr>
        <w:t xml:space="preserve"> </w:t>
      </w:r>
      <w:bookmarkStart w:id="0" w:name="_GoBack"/>
      <w:bookmarkEnd w:id="0"/>
      <w:r w:rsidRPr="00594B94">
        <w:rPr>
          <w:rFonts w:ascii="Arial" w:hAnsi="Arial" w:cs="Arial"/>
        </w:rPr>
        <w:t>Türk Lirasını</w:t>
      </w:r>
    </w:p>
    <w:p w:rsidR="00D6787A" w:rsidRPr="00D64AE6" w:rsidRDefault="00D6787A" w:rsidP="00D6787A">
      <w:pPr>
        <w:rPr>
          <w:rFonts w:ascii="Arial" w:hAnsi="Arial" w:cs="Arial"/>
        </w:rPr>
      </w:pPr>
      <w:r w:rsidRPr="00594B94">
        <w:rPr>
          <w:rFonts w:ascii="Arial" w:hAnsi="Arial" w:cs="Arial"/>
        </w:rPr>
        <w:t>ödemekle yükümlüdür.</w:t>
      </w:r>
    </w:p>
    <w:p w:rsidR="00D6787A" w:rsidRPr="00594B94" w:rsidRDefault="00D6787A" w:rsidP="00D6787A">
      <w:pPr>
        <w:rPr>
          <w:rFonts w:ascii="Arial" w:hAnsi="Arial" w:cs="Arial"/>
        </w:rPr>
      </w:pPr>
      <w:r w:rsidRPr="00594B94">
        <w:rPr>
          <w:rFonts w:ascii="Arial" w:hAnsi="Arial" w:cs="Arial"/>
          <w:b/>
        </w:rPr>
        <w:t>2-)</w:t>
      </w:r>
      <w:r w:rsidRPr="00594B94">
        <w:rPr>
          <w:rFonts w:ascii="Arial" w:hAnsi="Arial" w:cs="Arial"/>
        </w:rPr>
        <w:t xml:space="preserve"> Aynı Tebliğin geçici 2 nci m</w:t>
      </w:r>
      <w:r>
        <w:rPr>
          <w:rFonts w:ascii="Arial" w:hAnsi="Arial" w:cs="Arial"/>
        </w:rPr>
        <w:t>addesinde yer alan “</w:t>
      </w:r>
      <w:r w:rsidR="007708FD">
        <w:rPr>
          <w:rFonts w:ascii="Arial" w:hAnsi="Arial" w:cs="Arial"/>
        </w:rPr>
        <w:t>yediyüz</w:t>
      </w:r>
      <w:r w:rsidRPr="00594B94">
        <w:rPr>
          <w:rFonts w:ascii="Arial" w:hAnsi="Arial" w:cs="Arial"/>
        </w:rPr>
        <w:t xml:space="preserve"> Türk Lirası” ibareleri </w:t>
      </w:r>
      <w:r>
        <w:rPr>
          <w:rFonts w:ascii="Arial" w:hAnsi="Arial" w:cs="Arial"/>
          <w:u w:val="single"/>
        </w:rPr>
        <w:t>“yediyüz</w:t>
      </w:r>
      <w:r w:rsidR="007708FD">
        <w:rPr>
          <w:rFonts w:ascii="Arial" w:hAnsi="Arial" w:cs="Arial"/>
          <w:u w:val="single"/>
        </w:rPr>
        <w:t>kırk Türk Lirası (74</w:t>
      </w:r>
      <w:r w:rsidRPr="003151FA">
        <w:rPr>
          <w:rFonts w:ascii="Arial" w:hAnsi="Arial" w:cs="Arial"/>
          <w:u w:val="single"/>
        </w:rPr>
        <w:t>0 TL)”</w:t>
      </w:r>
      <w:r w:rsidRPr="00594B94">
        <w:rPr>
          <w:rFonts w:ascii="Arial" w:hAnsi="Arial" w:cs="Arial"/>
        </w:rPr>
        <w:t xml:space="preserve"> olarak değiştirilmiştir.</w:t>
      </w:r>
    </w:p>
    <w:p w:rsidR="00D6787A" w:rsidRDefault="00D6787A" w:rsidP="00D6787A">
      <w:pPr>
        <w:rPr>
          <w:rFonts w:ascii="Arial" w:hAnsi="Arial" w:cs="Arial"/>
        </w:rPr>
      </w:pPr>
      <w:r w:rsidRPr="00594B94">
        <w:rPr>
          <w:rFonts w:ascii="Arial" w:hAnsi="Arial" w:cs="Arial"/>
        </w:rPr>
        <w:t xml:space="preserve">Buna göre, muhatap banka, süresinde ibraz edilen çekin karşılığının bulunmaması halinde her çek yaprağı için </w:t>
      </w:r>
      <w:r>
        <w:rPr>
          <w:rFonts w:ascii="Arial" w:hAnsi="Arial" w:cs="Arial"/>
        </w:rPr>
        <w:t>yediyüz</w:t>
      </w:r>
      <w:r w:rsidR="007708FD">
        <w:rPr>
          <w:rFonts w:ascii="Arial" w:hAnsi="Arial" w:cs="Arial"/>
        </w:rPr>
        <w:t>kırk</w:t>
      </w:r>
      <w:r w:rsidRPr="00594B94">
        <w:rPr>
          <w:rFonts w:ascii="Arial" w:hAnsi="Arial" w:cs="Arial"/>
        </w:rPr>
        <w:t xml:space="preserve"> Türk Lirasına kadar ve kısmen karşılığının bulunması halinde ise bu miktarı he</w:t>
      </w:r>
      <w:r>
        <w:rPr>
          <w:rFonts w:ascii="Arial" w:hAnsi="Arial" w:cs="Arial"/>
        </w:rPr>
        <w:t>r çek yaprağı için yediyüz</w:t>
      </w:r>
      <w:r w:rsidR="007708FD">
        <w:rPr>
          <w:rFonts w:ascii="Arial" w:hAnsi="Arial" w:cs="Arial"/>
        </w:rPr>
        <w:t>kırk</w:t>
      </w:r>
      <w:r w:rsidRPr="00594B94">
        <w:rPr>
          <w:rFonts w:ascii="Arial" w:hAnsi="Arial" w:cs="Arial"/>
        </w:rPr>
        <w:t xml:space="preserve"> Türk Lirasına tamamlayacak bi</w:t>
      </w:r>
      <w:r>
        <w:rPr>
          <w:rFonts w:ascii="Arial" w:hAnsi="Arial" w:cs="Arial"/>
        </w:rPr>
        <w:t>çimde ödeme yapmakla yükümlüdür.</w:t>
      </w:r>
    </w:p>
    <w:p w:rsidR="007708FD" w:rsidRDefault="007708FD" w:rsidP="00D6787A">
      <w:pPr>
        <w:rPr>
          <w:rFonts w:ascii="Arial" w:hAnsi="Arial" w:cs="Arial"/>
        </w:rPr>
      </w:pPr>
    </w:p>
    <w:p w:rsidR="00D6787A" w:rsidRPr="000709E0" w:rsidRDefault="00D6787A" w:rsidP="00D6787A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eastAsia="tr-TR"/>
        </w:rPr>
      </w:pPr>
      <w:r>
        <w:rPr>
          <w:rFonts w:ascii="Calibri" w:eastAsia="Calibri" w:hAnsi="Calibri" w:cs="Times New Roman"/>
          <w:b/>
          <w:sz w:val="28"/>
          <w:szCs w:val="28"/>
          <w:lang w:eastAsia="tr-TR"/>
        </w:rPr>
        <w:t xml:space="preserve"> </w:t>
      </w:r>
      <w:r w:rsidRPr="000709E0">
        <w:rPr>
          <w:rFonts w:ascii="Calibri" w:eastAsia="Calibri" w:hAnsi="Calibri" w:cs="Times New Roman"/>
          <w:b/>
          <w:sz w:val="28"/>
          <w:szCs w:val="28"/>
          <w:lang w:eastAsia="tr-TR"/>
        </w:rPr>
        <w:t>Bilgilerinize sunarız,</w:t>
      </w:r>
    </w:p>
    <w:p w:rsidR="00D6787A" w:rsidRPr="000709E0" w:rsidRDefault="00D6787A" w:rsidP="00D6787A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eastAsia="tr-TR"/>
        </w:rPr>
      </w:pPr>
      <w:r w:rsidRPr="000709E0">
        <w:rPr>
          <w:rFonts w:ascii="Arial" w:eastAsia="Calibri" w:hAnsi="Arial" w:cs="Arial"/>
          <w:b/>
          <w:sz w:val="28"/>
          <w:szCs w:val="28"/>
          <w:lang w:eastAsia="tr-TR"/>
        </w:rPr>
        <w:t xml:space="preserve"> </w:t>
      </w:r>
      <w:r w:rsidRPr="000709E0">
        <w:rPr>
          <w:rFonts w:ascii="Calibri" w:eastAsia="Calibri" w:hAnsi="Calibri" w:cs="Times New Roman"/>
          <w:b/>
          <w:bCs/>
          <w:sz w:val="28"/>
          <w:szCs w:val="28"/>
          <w:lang w:eastAsia="tr-TR"/>
        </w:rPr>
        <w:t>Kadıoğlu YMM LTD.ŞTİ.</w:t>
      </w:r>
    </w:p>
    <w:p w:rsidR="00D6787A" w:rsidRDefault="00D6787A" w:rsidP="00D6787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666666"/>
          <w:sz w:val="18"/>
          <w:szCs w:val="18"/>
          <w:lang w:val="en-US" w:eastAsia="tr-TR"/>
        </w:rPr>
      </w:pPr>
    </w:p>
    <w:sectPr w:rsidR="00D6787A" w:rsidSect="00174CD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7A"/>
    <w:rsid w:val="00174CD3"/>
    <w:rsid w:val="001E22D4"/>
    <w:rsid w:val="002E236C"/>
    <w:rsid w:val="003A1FE0"/>
    <w:rsid w:val="004446E3"/>
    <w:rsid w:val="00724B71"/>
    <w:rsid w:val="00750A5F"/>
    <w:rsid w:val="007708FD"/>
    <w:rsid w:val="007E7311"/>
    <w:rsid w:val="00981B64"/>
    <w:rsid w:val="00BF2D93"/>
    <w:rsid w:val="00D5562A"/>
    <w:rsid w:val="00D6787A"/>
    <w:rsid w:val="00E92832"/>
    <w:rsid w:val="00FA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6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42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33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28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0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89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03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1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497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2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53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5" w:color="E9E9E9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354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623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458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1301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7027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0429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9441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292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3757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Tahsin Mulhan</dc:creator>
  <cp:lastModifiedBy>Tahsin Mulhan</cp:lastModifiedBy>
  <cp:revision>40</cp:revision>
  <dcterms:created xsi:type="dcterms:W3CDTF">2016-02-01T08:26:00Z</dcterms:created>
  <dcterms:modified xsi:type="dcterms:W3CDTF">2016-02-01T08:48:00Z</dcterms:modified>
</cp:coreProperties>
</file>