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C4A" w:rsidRDefault="00620C4A" w:rsidP="00620C4A">
      <w:pPr>
        <w:pStyle w:val="NormalWeb"/>
        <w:rPr>
          <w:b/>
          <w:color w:val="auto"/>
          <w:sz w:val="32"/>
          <w:szCs w:val="32"/>
        </w:rPr>
      </w:pPr>
      <w:bookmarkStart w:id="0" w:name="_GoBack"/>
      <w:bookmarkEnd w:id="0"/>
      <w:r>
        <w:rPr>
          <w:b/>
          <w:color w:val="auto"/>
          <w:sz w:val="32"/>
          <w:szCs w:val="32"/>
        </w:rPr>
        <w:t xml:space="preserve">                                                </w:t>
      </w:r>
      <w:r w:rsidR="00DD26E2">
        <w:rPr>
          <w:b/>
          <w:color w:val="auto"/>
          <w:sz w:val="32"/>
          <w:szCs w:val="32"/>
        </w:rPr>
        <w:t xml:space="preserve">                    İstanbul, 11.03.2016</w:t>
      </w:r>
    </w:p>
    <w:p w:rsidR="00620C4A" w:rsidRDefault="00DD26E2" w:rsidP="00620C4A">
      <w:pPr>
        <w:pStyle w:val="NormalWeb"/>
        <w:rPr>
          <w:b/>
          <w:color w:val="auto"/>
          <w:sz w:val="32"/>
          <w:szCs w:val="32"/>
        </w:rPr>
      </w:pPr>
      <w:r>
        <w:rPr>
          <w:b/>
          <w:color w:val="auto"/>
          <w:sz w:val="32"/>
          <w:szCs w:val="32"/>
        </w:rPr>
        <w:t>Sirküler No:2016-31</w:t>
      </w:r>
    </w:p>
    <w:p w:rsidR="00620C4A" w:rsidRDefault="00620C4A" w:rsidP="00620C4A">
      <w:pPr>
        <w:pStyle w:val="Balk1"/>
      </w:pPr>
      <w:r>
        <w:t>Kesin Mizan Bildirimleri Hakkında Hatırlatma</w:t>
      </w:r>
    </w:p>
    <w:p w:rsidR="00620C4A" w:rsidRDefault="00620C4A" w:rsidP="00620C4A">
      <w:pPr>
        <w:rPr>
          <w:rFonts w:ascii="Arial" w:hAnsi="Arial" w:cs="Arial"/>
          <w:color w:val="000000"/>
        </w:rPr>
      </w:pPr>
    </w:p>
    <w:p w:rsidR="00620C4A" w:rsidRDefault="00620C4A" w:rsidP="00620C4A">
      <w:pPr>
        <w:rPr>
          <w:rFonts w:ascii="Arial" w:hAnsi="Arial" w:cs="Arial"/>
          <w:sz w:val="22"/>
          <w:szCs w:val="22"/>
        </w:rPr>
      </w:pPr>
      <w:r>
        <w:rPr>
          <w:rFonts w:ascii="Arial" w:hAnsi="Arial" w:cs="Arial"/>
          <w:sz w:val="22"/>
          <w:szCs w:val="22"/>
        </w:rPr>
        <w:t xml:space="preserve">19 Ocak 2011 tarih ve 27820 sayılı Resmi Gazete'de yayımlanan 403 Sıra No.lu Vergi Usul Kanunu Genel Tebliğine göre; Bilanço esasına göre defter tutan mükellefler tarafından 2010 yılı ve müteakip dönemler için elektronik ortamda bildirilecek olan "Kesin Mizan Bildirimi"nin gönderilmesinde uygulanacak usul ve esaslara ilişkin açıklamalar yapılmıştır. İlgili Tebliğe göre; </w:t>
      </w:r>
      <w:r>
        <w:rPr>
          <w:rFonts w:ascii="Arial" w:hAnsi="Arial" w:cs="Arial"/>
          <w:sz w:val="22"/>
          <w:szCs w:val="22"/>
        </w:rPr>
        <w:br/>
      </w:r>
      <w:r>
        <w:rPr>
          <w:rFonts w:ascii="Arial" w:hAnsi="Arial" w:cs="Arial"/>
          <w:sz w:val="22"/>
          <w:szCs w:val="22"/>
        </w:rPr>
        <w:br/>
        <w:t>Bilanço esasına göre defter tutan Gelir Vergisi mükellefleri ile Kurumlar Vergisi mükellefleri elektronik ortamda kesin mizan bildirimi vermek zorundadırlar. Ancak bilanço esasına göre defter tutmakla beraber faaliyet konuları itibariyle farklı muhasebe tekniğini kullanmak durumunda bulunan; bankalar, finansal kiralama ve faktoring şirketleri, finansman şirketleri, sigorta şirketleri, menkul kıymet yatırım fonları, yatırım ortaklıkları ve aracı kurumlar, emeklilik yatırım fonları ile emeklilik şirketleri, "Kesin Mizan Bildirimi" verme yükümlülüğüne tabi değildirler.</w:t>
      </w:r>
      <w:r>
        <w:rPr>
          <w:rFonts w:ascii="Arial" w:hAnsi="Arial" w:cs="Arial"/>
          <w:sz w:val="22"/>
          <w:szCs w:val="22"/>
        </w:rPr>
        <w:br/>
      </w:r>
      <w:r>
        <w:rPr>
          <w:rFonts w:ascii="Arial" w:hAnsi="Arial" w:cs="Arial"/>
          <w:sz w:val="22"/>
          <w:szCs w:val="22"/>
        </w:rPr>
        <w:br/>
        <w:t xml:space="preserve">Kesin mizanlar sadece elektronik ortamda gönderilecek ve tebliğ ekinde yer alan "Kesin Mizan Bildirim Formatı"na uygun olarak düzenlenmesi gerekmektedir. </w:t>
      </w:r>
      <w:r>
        <w:rPr>
          <w:rFonts w:ascii="Arial" w:hAnsi="Arial" w:cs="Arial"/>
          <w:sz w:val="22"/>
          <w:szCs w:val="22"/>
        </w:rPr>
        <w:br/>
      </w:r>
      <w:r>
        <w:rPr>
          <w:rFonts w:ascii="Arial" w:hAnsi="Arial" w:cs="Arial"/>
          <w:sz w:val="22"/>
          <w:szCs w:val="22"/>
        </w:rPr>
        <w:br/>
        <w:t>Bildirim verme yükümlülüğü getirilen Gelir Vergisi Mükellefleri bildirimlerini; 1 Mart -31 Mart</w:t>
      </w:r>
      <w:r>
        <w:rPr>
          <w:sz w:val="22"/>
          <w:szCs w:val="22"/>
        </w:rPr>
        <w:t xml:space="preserve"> </w:t>
      </w:r>
      <w:r>
        <w:rPr>
          <w:rFonts w:ascii="Arial" w:hAnsi="Arial" w:cs="Arial"/>
          <w:sz w:val="22"/>
          <w:szCs w:val="22"/>
        </w:rPr>
        <w:t>tarihleri arasında, Kurumlar Vergisi Mükellefleri ise bildirimlerini; 1 Nisan-30 Nisan tarihleri arasında ele</w:t>
      </w:r>
      <w:r w:rsidR="00503CA0">
        <w:rPr>
          <w:rFonts w:ascii="Arial" w:hAnsi="Arial" w:cs="Arial"/>
          <w:sz w:val="22"/>
          <w:szCs w:val="22"/>
        </w:rPr>
        <w:t>ktronik ortamda vereceklerdir.</w:t>
      </w:r>
      <w:r w:rsidR="00503CA0">
        <w:rPr>
          <w:rFonts w:ascii="Arial" w:hAnsi="Arial" w:cs="Arial"/>
          <w:sz w:val="22"/>
          <w:szCs w:val="22"/>
        </w:rPr>
        <w:br/>
      </w:r>
    </w:p>
    <w:p w:rsidR="00620C4A" w:rsidRDefault="00620C4A" w:rsidP="00620C4A">
      <w:pPr>
        <w:rPr>
          <w:rFonts w:ascii="Arial" w:hAnsi="Arial" w:cs="Arial"/>
          <w:sz w:val="22"/>
          <w:szCs w:val="22"/>
        </w:rPr>
      </w:pPr>
      <w:r>
        <w:rPr>
          <w:rFonts w:ascii="Arial" w:hAnsi="Arial" w:cs="Arial"/>
          <w:sz w:val="22"/>
          <w:szCs w:val="22"/>
        </w:rPr>
        <w:t xml:space="preserve">Özel hesap dönemine tabi olan mükellefler bildirimlerini kendi gelir veya kurumlar vergisi beyannamelerinin verilme süresi içinde vermek zorundadırlar. </w:t>
      </w:r>
      <w:r>
        <w:rPr>
          <w:rFonts w:ascii="Arial" w:hAnsi="Arial" w:cs="Arial"/>
          <w:sz w:val="22"/>
          <w:szCs w:val="22"/>
        </w:rPr>
        <w:br/>
      </w:r>
      <w:r>
        <w:rPr>
          <w:rFonts w:ascii="Arial" w:hAnsi="Arial" w:cs="Arial"/>
          <w:sz w:val="22"/>
          <w:szCs w:val="22"/>
        </w:rPr>
        <w:br/>
        <w:t>Düzeltme işleminde ilk bildirim tamamen iptal edilmekte ve ikinci defa verilen bildirim geçerli kabul edilmektedir. Bu sebeple, düzeltme yapması gereken mükelleflerin, yeni bildirimi, daha önce bildirimde bulunulmamış gibi tüm bilgileri içerecek şekilde doldurmaları gerekmektedir.</w:t>
      </w:r>
      <w:r>
        <w:rPr>
          <w:rFonts w:ascii="Arial" w:hAnsi="Arial" w:cs="Arial"/>
          <w:sz w:val="22"/>
          <w:szCs w:val="22"/>
        </w:rPr>
        <w:br/>
      </w:r>
      <w:r>
        <w:rPr>
          <w:rFonts w:ascii="Arial" w:hAnsi="Arial" w:cs="Arial"/>
          <w:sz w:val="22"/>
          <w:szCs w:val="22"/>
        </w:rPr>
        <w:br/>
        <w:t xml:space="preserve">Bildirimlerini elektronik ortamda belirlenen süre içinde vermeyen veya eksik ya da yanıltıcı bildirimde bulunan mükellefler hakkında VUK’un mükerrer 355 inci maddesi hükmü uyarınca özel usulsüzlük cezası kesilecektir. </w:t>
      </w:r>
      <w:r>
        <w:rPr>
          <w:rFonts w:ascii="Arial" w:hAnsi="Arial" w:cs="Arial"/>
          <w:sz w:val="22"/>
          <w:szCs w:val="22"/>
        </w:rPr>
        <w:br/>
      </w:r>
      <w:r>
        <w:rPr>
          <w:rFonts w:ascii="Arial" w:hAnsi="Arial" w:cs="Arial"/>
          <w:sz w:val="22"/>
          <w:szCs w:val="22"/>
        </w:rPr>
        <w:br/>
        <w:t>Düzeltme işlemlerinde ise belirlenen sürelerin sonundan itibaren 10 gün içinde verilmesi halinde özel usulsüzlük cezası kesilmeyecek, takip eden 15 gün içinde verilmesi halinde ise kesilmesi gereken özel usulsüzlük cezası 1/5 oranında uygulanacaktır.</w:t>
      </w:r>
    </w:p>
    <w:p w:rsidR="00620C4A" w:rsidRDefault="00620C4A" w:rsidP="00620C4A">
      <w:pPr>
        <w:pStyle w:val="AralkYok"/>
        <w:rPr>
          <w:b/>
          <w:sz w:val="28"/>
          <w:szCs w:val="28"/>
        </w:rPr>
      </w:pPr>
    </w:p>
    <w:p w:rsidR="00620C4A" w:rsidRDefault="00620C4A" w:rsidP="00620C4A">
      <w:pPr>
        <w:pStyle w:val="AralkYok"/>
        <w:rPr>
          <w:b/>
          <w:sz w:val="28"/>
          <w:szCs w:val="28"/>
        </w:rPr>
      </w:pPr>
    </w:p>
    <w:p w:rsidR="00A1155C" w:rsidRDefault="00A1155C" w:rsidP="00620C4A">
      <w:pPr>
        <w:pStyle w:val="AralkYok"/>
        <w:rPr>
          <w:b/>
          <w:sz w:val="28"/>
          <w:szCs w:val="28"/>
        </w:rPr>
      </w:pPr>
    </w:p>
    <w:p w:rsidR="00620C4A" w:rsidRDefault="00620C4A" w:rsidP="00620C4A">
      <w:pPr>
        <w:pStyle w:val="AralkYok"/>
      </w:pPr>
      <w:r>
        <w:rPr>
          <w:b/>
          <w:sz w:val="28"/>
          <w:szCs w:val="28"/>
        </w:rPr>
        <w:t xml:space="preserve"> Bilgilerinize sunarız,</w:t>
      </w:r>
    </w:p>
    <w:p w:rsidR="00620C4A" w:rsidRDefault="00620C4A" w:rsidP="00620C4A">
      <w:pPr>
        <w:pStyle w:val="AralkYok"/>
      </w:pPr>
      <w:r>
        <w:rPr>
          <w:rFonts w:ascii="Arial" w:hAnsi="Arial" w:cs="Arial"/>
          <w:b/>
          <w:sz w:val="28"/>
          <w:szCs w:val="28"/>
        </w:rPr>
        <w:t xml:space="preserve"> </w:t>
      </w:r>
      <w:r>
        <w:rPr>
          <w:b/>
          <w:bCs/>
          <w:sz w:val="28"/>
          <w:szCs w:val="28"/>
        </w:rPr>
        <w:t>Kadıoğlu YMM LTD.ŞTİ.</w:t>
      </w:r>
    </w:p>
    <w:p w:rsidR="00620C4A" w:rsidRDefault="00620C4A" w:rsidP="00620C4A">
      <w:pPr>
        <w:pStyle w:val="NormalWeb"/>
        <w:rPr>
          <w:color w:val="auto"/>
          <w:sz w:val="24"/>
        </w:rPr>
      </w:pPr>
    </w:p>
    <w:p w:rsidR="00620C4A" w:rsidRDefault="00620C4A" w:rsidP="00620C4A"/>
    <w:sectPr w:rsidR="00620C4A" w:rsidSect="00174CD3">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C4A"/>
    <w:rsid w:val="00110E1E"/>
    <w:rsid w:val="00174CD3"/>
    <w:rsid w:val="00252C1A"/>
    <w:rsid w:val="002E236C"/>
    <w:rsid w:val="0040039A"/>
    <w:rsid w:val="004446E3"/>
    <w:rsid w:val="00503CA0"/>
    <w:rsid w:val="00570C41"/>
    <w:rsid w:val="00620C4A"/>
    <w:rsid w:val="00724B71"/>
    <w:rsid w:val="00761B18"/>
    <w:rsid w:val="007C59B9"/>
    <w:rsid w:val="007E7311"/>
    <w:rsid w:val="00A1155C"/>
    <w:rsid w:val="00A37349"/>
    <w:rsid w:val="00C96742"/>
    <w:rsid w:val="00DD26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C4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620C4A"/>
    <w:pPr>
      <w:keepNext/>
      <w:spacing w:before="240" w:after="60"/>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20C4A"/>
    <w:rPr>
      <w:rFonts w:ascii="Arial" w:eastAsia="Times New Roman" w:hAnsi="Arial" w:cs="Arial"/>
      <w:b/>
      <w:bCs/>
      <w:kern w:val="32"/>
      <w:sz w:val="32"/>
      <w:szCs w:val="32"/>
      <w:lang w:eastAsia="tr-TR"/>
    </w:rPr>
  </w:style>
  <w:style w:type="paragraph" w:styleId="NormalWeb">
    <w:name w:val="Normal (Web)"/>
    <w:basedOn w:val="Normal"/>
    <w:semiHidden/>
    <w:unhideWhenUsed/>
    <w:rsid w:val="00620C4A"/>
    <w:pPr>
      <w:spacing w:before="100" w:beforeAutospacing="1" w:after="100" w:afterAutospacing="1"/>
    </w:pPr>
    <w:rPr>
      <w:rFonts w:ascii="Arial" w:hAnsi="Arial" w:cs="Arial"/>
      <w:color w:val="333333"/>
      <w:sz w:val="17"/>
      <w:szCs w:val="17"/>
    </w:rPr>
  </w:style>
  <w:style w:type="paragraph" w:styleId="AralkYok">
    <w:name w:val="No Spacing"/>
    <w:qFormat/>
    <w:rsid w:val="00620C4A"/>
    <w:pPr>
      <w:suppressAutoHyphens/>
      <w:spacing w:after="0" w:line="100" w:lineRule="atLeast"/>
    </w:pPr>
    <w:rPr>
      <w:rFonts w:ascii="Times New Roman" w:eastAsia="SimSun" w:hAnsi="Times New Roman" w:cs="Mangal"/>
      <w:color w:val="00000A"/>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C4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620C4A"/>
    <w:pPr>
      <w:keepNext/>
      <w:spacing w:before="240" w:after="60"/>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20C4A"/>
    <w:rPr>
      <w:rFonts w:ascii="Arial" w:eastAsia="Times New Roman" w:hAnsi="Arial" w:cs="Arial"/>
      <w:b/>
      <w:bCs/>
      <w:kern w:val="32"/>
      <w:sz w:val="32"/>
      <w:szCs w:val="32"/>
      <w:lang w:eastAsia="tr-TR"/>
    </w:rPr>
  </w:style>
  <w:style w:type="paragraph" w:styleId="NormalWeb">
    <w:name w:val="Normal (Web)"/>
    <w:basedOn w:val="Normal"/>
    <w:semiHidden/>
    <w:unhideWhenUsed/>
    <w:rsid w:val="00620C4A"/>
    <w:pPr>
      <w:spacing w:before="100" w:beforeAutospacing="1" w:after="100" w:afterAutospacing="1"/>
    </w:pPr>
    <w:rPr>
      <w:rFonts w:ascii="Arial" w:hAnsi="Arial" w:cs="Arial"/>
      <w:color w:val="333333"/>
      <w:sz w:val="17"/>
      <w:szCs w:val="17"/>
    </w:rPr>
  </w:style>
  <w:style w:type="paragraph" w:styleId="AralkYok">
    <w:name w:val="No Spacing"/>
    <w:qFormat/>
    <w:rsid w:val="00620C4A"/>
    <w:pPr>
      <w:suppressAutoHyphens/>
      <w:spacing w:after="0" w:line="100" w:lineRule="atLeast"/>
    </w:pPr>
    <w:rPr>
      <w:rFonts w:ascii="Times New Roman" w:eastAsia="SimSun" w:hAnsi="Times New Roman" w:cs="Mangal"/>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07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Tahsin Mulhan</dc:creator>
  <cp:lastModifiedBy>Tahsin Mulhan</cp:lastModifiedBy>
  <cp:revision>116</cp:revision>
  <dcterms:created xsi:type="dcterms:W3CDTF">2015-03-26T07:10:00Z</dcterms:created>
  <dcterms:modified xsi:type="dcterms:W3CDTF">2016-03-11T13:51:00Z</dcterms:modified>
</cp:coreProperties>
</file>