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5A" w:rsidRDefault="0016765A" w:rsidP="0016765A">
      <w:pPr>
        <w:pStyle w:val="NormalWeb"/>
        <w:rPr>
          <w:b/>
          <w:sz w:val="32"/>
          <w:szCs w:val="32"/>
        </w:rPr>
      </w:pPr>
      <w:bookmarkStart w:id="0" w:name="_GoBack"/>
      <w:bookmarkEnd w:id="0"/>
      <w:r>
        <w:rPr>
          <w:b/>
          <w:sz w:val="32"/>
          <w:szCs w:val="32"/>
        </w:rPr>
        <w:t xml:space="preserve">                                                           </w:t>
      </w:r>
      <w:r w:rsidR="00BB518C">
        <w:rPr>
          <w:b/>
          <w:sz w:val="32"/>
          <w:szCs w:val="32"/>
        </w:rPr>
        <w:t xml:space="preserve">                    İstanbul, 11.03.2016</w:t>
      </w:r>
    </w:p>
    <w:p w:rsidR="00642E61" w:rsidRDefault="00BB518C" w:rsidP="00111B53">
      <w:pPr>
        <w:pStyle w:val="NormalWeb"/>
        <w:rPr>
          <w:b/>
          <w:sz w:val="32"/>
          <w:szCs w:val="32"/>
        </w:rPr>
      </w:pPr>
      <w:r>
        <w:rPr>
          <w:b/>
          <w:sz w:val="32"/>
          <w:szCs w:val="32"/>
        </w:rPr>
        <w:t>Sirküler No:2016-32</w:t>
      </w:r>
    </w:p>
    <w:p w:rsidR="0022774A" w:rsidRPr="00111B53" w:rsidRDefault="0022774A" w:rsidP="00111B53">
      <w:pPr>
        <w:pStyle w:val="NormalWeb"/>
        <w:rPr>
          <w:rStyle w:val="Gl"/>
          <w:bCs w:val="0"/>
          <w:sz w:val="32"/>
          <w:szCs w:val="32"/>
        </w:rPr>
      </w:pPr>
    </w:p>
    <w:p w:rsidR="0016765A" w:rsidRPr="0016765A" w:rsidRDefault="0016765A" w:rsidP="0016765A">
      <w:pPr>
        <w:pStyle w:val="Balk1"/>
        <w:rPr>
          <w:color w:val="auto"/>
          <w:sz w:val="32"/>
          <w:szCs w:val="32"/>
        </w:rPr>
      </w:pPr>
      <w:r w:rsidRPr="0016765A">
        <w:rPr>
          <w:color w:val="auto"/>
          <w:sz w:val="32"/>
          <w:szCs w:val="32"/>
        </w:rPr>
        <w:t>Bağlı Şirket</w:t>
      </w:r>
      <w:r w:rsidR="00C022DF">
        <w:rPr>
          <w:color w:val="auto"/>
          <w:sz w:val="32"/>
          <w:szCs w:val="32"/>
        </w:rPr>
        <w:t xml:space="preserve"> </w:t>
      </w:r>
      <w:r w:rsidR="00E0032D">
        <w:rPr>
          <w:color w:val="auto"/>
          <w:sz w:val="32"/>
          <w:szCs w:val="32"/>
        </w:rPr>
        <w:t>Raporu Hakkında</w:t>
      </w:r>
      <w:r w:rsidRPr="0016765A">
        <w:rPr>
          <w:color w:val="auto"/>
          <w:sz w:val="32"/>
          <w:szCs w:val="32"/>
        </w:rPr>
        <w:t xml:space="preserve"> Hatırlatma</w:t>
      </w:r>
    </w:p>
    <w:p w:rsidR="00111B53" w:rsidRDefault="00111B53" w:rsidP="00AF2B45">
      <w:pPr>
        <w:rPr>
          <w:rFonts w:ascii="Arial" w:hAnsi="Arial" w:cs="Arial"/>
          <w:sz w:val="24"/>
          <w:szCs w:val="24"/>
        </w:rPr>
      </w:pPr>
    </w:p>
    <w:p w:rsidR="00AF2B45" w:rsidRPr="00111B53" w:rsidRDefault="00AF2B45" w:rsidP="00AF2B45">
      <w:pPr>
        <w:rPr>
          <w:rFonts w:ascii="Arial" w:hAnsi="Arial" w:cs="Arial"/>
        </w:rPr>
      </w:pPr>
      <w:r w:rsidRPr="00111B53">
        <w:rPr>
          <w:rFonts w:ascii="Arial" w:hAnsi="Arial" w:cs="Arial"/>
        </w:rPr>
        <w:t>Türk Ticaret Kanunu'nun 195. ila 209. maddelerinde "Şirketler topluluğu" ve "bağlı ve hakim şirketlerin raporları" hakkında hükümlere yer verilmektedir.</w:t>
      </w:r>
    </w:p>
    <w:p w:rsidR="00AF2B45" w:rsidRPr="00111B53" w:rsidRDefault="00AF2B45" w:rsidP="00AF2B45">
      <w:pPr>
        <w:rPr>
          <w:rFonts w:ascii="Arial" w:hAnsi="Arial" w:cs="Arial"/>
        </w:rPr>
      </w:pPr>
      <w:r w:rsidRPr="00111B53">
        <w:rPr>
          <w:rFonts w:ascii="Arial" w:hAnsi="Arial" w:cs="Arial"/>
        </w:rPr>
        <w:t>TTK'nın 195. maddesinin dördüncü fıkrasına göre, hakim şirkete doğrudan veya dolaylı olarak bağlı bulunan şirketler, onunla birlikte “Şirketler Topluluğu”nu oluşturmaktadır. Hakim şirketler “ana şirket”, bağlı şirketler “yavru şirket” konumundadır. Ayrıca bir vakıf veya gerçek kişi de (“teşebbüs” sayılmak şartıyla) hakim şirket konumunda bulunabilmektedir.</w:t>
      </w:r>
    </w:p>
    <w:p w:rsidR="00380DC9" w:rsidRDefault="00B87EFB" w:rsidP="00127FDF">
      <w:pPr>
        <w:rPr>
          <w:rFonts w:ascii="Arial" w:hAnsi="Arial" w:cs="Arial"/>
        </w:rPr>
      </w:pPr>
      <w:r>
        <w:rPr>
          <w:rFonts w:ascii="Arial" w:hAnsi="Arial" w:cs="Arial"/>
        </w:rPr>
        <w:t>Bağlı şirket raporu;</w:t>
      </w:r>
      <w:r w:rsidR="00B271F7">
        <w:rPr>
          <w:rFonts w:ascii="Arial" w:hAnsi="Arial" w:cs="Arial"/>
        </w:rPr>
        <w:t xml:space="preserve"> </w:t>
      </w:r>
      <w:r w:rsidR="00AF2B45" w:rsidRPr="00111B53">
        <w:rPr>
          <w:rFonts w:ascii="Arial" w:hAnsi="Arial" w:cs="Arial"/>
        </w:rPr>
        <w:t xml:space="preserve">Anonim şirketlerde yönetim kurulu, limited şirketlerde müdürler </w:t>
      </w:r>
      <w:r>
        <w:rPr>
          <w:rFonts w:ascii="Arial" w:hAnsi="Arial" w:cs="Arial"/>
        </w:rPr>
        <w:t>tarafından,f</w:t>
      </w:r>
      <w:r w:rsidR="00AF2B45" w:rsidRPr="00111B53">
        <w:rPr>
          <w:rFonts w:ascii="Arial" w:hAnsi="Arial" w:cs="Arial"/>
        </w:rPr>
        <w:t>aaliyet dönemi takvim yılı olan bir bağlı şirkette bir sonr</w:t>
      </w:r>
      <w:r w:rsidR="00B271F7">
        <w:rPr>
          <w:rFonts w:ascii="Arial" w:hAnsi="Arial" w:cs="Arial"/>
        </w:rPr>
        <w:t xml:space="preserve">aki yılın Mart ayı sonuna kadar, </w:t>
      </w:r>
      <w:r>
        <w:rPr>
          <w:rFonts w:ascii="Arial" w:hAnsi="Arial" w:cs="Arial"/>
        </w:rPr>
        <w:t>t</w:t>
      </w:r>
      <w:r w:rsidR="00AF2B45" w:rsidRPr="00111B53">
        <w:rPr>
          <w:rFonts w:ascii="Arial" w:hAnsi="Arial" w:cs="Arial"/>
        </w:rPr>
        <w:t xml:space="preserve">escil ve ilana tabi olmaksızın </w:t>
      </w:r>
      <w:r w:rsidR="00127FDF" w:rsidRPr="00111B53">
        <w:rPr>
          <w:rFonts w:ascii="Arial" w:hAnsi="Arial" w:cs="Arial"/>
        </w:rPr>
        <w:t>hakim ve bağlı şi</w:t>
      </w:r>
      <w:r w:rsidR="005C1BB4" w:rsidRPr="00111B53">
        <w:rPr>
          <w:rFonts w:ascii="Arial" w:hAnsi="Arial" w:cs="Arial"/>
        </w:rPr>
        <w:t xml:space="preserve">rketlerle ilişkisi hakkında bağlılık raporu </w:t>
      </w:r>
      <w:r w:rsidR="00127FDF" w:rsidRPr="00111B53">
        <w:rPr>
          <w:rFonts w:ascii="Arial" w:hAnsi="Arial" w:cs="Arial"/>
        </w:rPr>
        <w:t xml:space="preserve">düzenleyecektir. </w:t>
      </w:r>
    </w:p>
    <w:p w:rsidR="00F77E4C" w:rsidRPr="00111B53" w:rsidRDefault="00127FDF" w:rsidP="00127FDF">
      <w:pPr>
        <w:rPr>
          <w:rFonts w:ascii="Arial" w:hAnsi="Arial" w:cs="Arial"/>
        </w:rPr>
      </w:pPr>
      <w:r w:rsidRPr="00111B53">
        <w:rPr>
          <w:rFonts w:ascii="Arial" w:hAnsi="Arial" w:cs="Arial"/>
        </w:rPr>
        <w:t>Raporda, şirketin geçmiş faaliyet yılında hakim şirketle, hakim şirkete bağlı bir şirketle, hakim şirketin yönlendirmesiyle onun ya da ona bağlı bir şirketin yararına yaptığı tüm hukuki işlemlerin ve geçmiş  faaliyet  yılında  hakim  şirketin  ya  da  ona  bağlı  bir  şirketin  yararına  alınan  veya alınmasından kaçınılan tüm diğer önlemlerin açıklaması yapılır. Hukuki işlemlerde edimler ve karşı edimler, önlemlerde, önlemin sebebi ve şirket yönünden yarar ve zararları belirtilir. Zarar denkleştirilmişse, bunun faaliyet yılı içinde fiilen nasıl gerçekleştiği veya şirketin sağladığı hangi menfaatlere ilişkin olarak bir istem hakkı tanındığı ayrıca bildirilir. Rapor, doğru ve dürüst hesap verme ilkelerine uygun olmalıdır. Yönetim kurulu raporun sonunda şirketin, hukuki işlemin yapıldığı veya önlemin alındığı veya  alınmasından kaçınıldığı anda kendilerince bilinen hal ve şartlara göre, her bir hukuki işlemde uygun bir karşı edim sağlanıp sağlanmadığını ve alınan veya alınmasından kaçınılan önlemin şirketi zarara uğratıp uğratmadığını açıklar. Şirket zarara uğramışsa, yönetim kurulu ayrıca zararın denkleştirilip denkleştirilmediğini de belirtir. Bu açıklama sadece yıllık faaliyet raporunda yer alır. (Madde:199)</w:t>
      </w:r>
    </w:p>
    <w:p w:rsidR="00C20373" w:rsidRDefault="00127FDF" w:rsidP="00127FDF">
      <w:pPr>
        <w:rPr>
          <w:rFonts w:ascii="Arial" w:hAnsi="Arial" w:cs="Arial"/>
        </w:rPr>
      </w:pPr>
      <w:r w:rsidRPr="00111B53">
        <w:rPr>
          <w:rFonts w:ascii="Arial" w:hAnsi="Arial" w:cs="Arial"/>
        </w:rPr>
        <w:t>TTK m. 199/1’deki Rapor düze</w:t>
      </w:r>
      <w:r w:rsidR="004C6CBD" w:rsidRPr="00111B53">
        <w:rPr>
          <w:rFonts w:ascii="Arial" w:hAnsi="Arial" w:cs="Arial"/>
        </w:rPr>
        <w:t>nleme yükümlülüğüne</w:t>
      </w:r>
      <w:r w:rsidR="00C45043" w:rsidRPr="00111B53">
        <w:rPr>
          <w:rFonts w:ascii="Arial" w:hAnsi="Arial" w:cs="Arial"/>
        </w:rPr>
        <w:t xml:space="preserve"> aykırılık 200 günden az olmamak üzere </w:t>
      </w:r>
      <w:r w:rsidRPr="00111B53">
        <w:rPr>
          <w:rFonts w:ascii="Arial" w:hAnsi="Arial" w:cs="Arial"/>
        </w:rPr>
        <w:t xml:space="preserve">adli para cezası ile cezalandırılır. </w:t>
      </w:r>
    </w:p>
    <w:p w:rsidR="00F6407E" w:rsidRDefault="00F6407E" w:rsidP="00F6407E">
      <w:pPr>
        <w:pStyle w:val="AralkYok"/>
        <w:rPr>
          <w:b/>
          <w:sz w:val="28"/>
          <w:szCs w:val="28"/>
        </w:rPr>
      </w:pPr>
    </w:p>
    <w:p w:rsidR="0022774A" w:rsidRDefault="0022774A" w:rsidP="00F6407E">
      <w:pPr>
        <w:pStyle w:val="AralkYok"/>
        <w:rPr>
          <w:b/>
          <w:sz w:val="28"/>
          <w:szCs w:val="28"/>
        </w:rPr>
      </w:pPr>
    </w:p>
    <w:p w:rsidR="00F6407E" w:rsidRDefault="00F6407E" w:rsidP="00F6407E">
      <w:pPr>
        <w:pStyle w:val="AralkYok"/>
      </w:pPr>
      <w:r>
        <w:rPr>
          <w:b/>
          <w:sz w:val="28"/>
          <w:szCs w:val="28"/>
        </w:rPr>
        <w:t xml:space="preserve"> Bilgilerinize sunarız,</w:t>
      </w:r>
    </w:p>
    <w:p w:rsidR="00F6407E" w:rsidRDefault="00F6407E" w:rsidP="00F6407E">
      <w:pPr>
        <w:pStyle w:val="AralkYok"/>
      </w:pPr>
      <w:r>
        <w:rPr>
          <w:rFonts w:ascii="Arial" w:hAnsi="Arial" w:cs="Arial"/>
          <w:b/>
          <w:sz w:val="28"/>
          <w:szCs w:val="28"/>
        </w:rPr>
        <w:t xml:space="preserve"> </w:t>
      </w:r>
      <w:r>
        <w:rPr>
          <w:b/>
          <w:bCs/>
          <w:sz w:val="28"/>
          <w:szCs w:val="28"/>
        </w:rPr>
        <w:t>Kadıoğlu YMM LTD.ŞTİ.</w:t>
      </w:r>
    </w:p>
    <w:p w:rsidR="00F6407E" w:rsidRDefault="00F6407E" w:rsidP="00F44387">
      <w:pPr>
        <w:pStyle w:val="AralkYok"/>
      </w:pPr>
      <w:r>
        <w:rPr>
          <w:b/>
          <w:sz w:val="28"/>
          <w:szCs w:val="28"/>
        </w:rPr>
        <w:t xml:space="preserve"> </w:t>
      </w:r>
    </w:p>
    <w:p w:rsidR="00A22E1C" w:rsidRDefault="00A22E1C" w:rsidP="00127FDF">
      <w:pPr>
        <w:rPr>
          <w:rFonts w:ascii="Arial" w:hAnsi="Arial" w:cs="Arial"/>
        </w:rPr>
      </w:pPr>
    </w:p>
    <w:p w:rsidR="00F6407E" w:rsidRPr="00111B53" w:rsidRDefault="00F6407E" w:rsidP="00127FDF">
      <w:pPr>
        <w:rPr>
          <w:rFonts w:ascii="Arial" w:hAnsi="Arial" w:cs="Arial"/>
        </w:rPr>
      </w:pPr>
    </w:p>
    <w:sectPr w:rsidR="00F6407E" w:rsidRPr="00111B53" w:rsidSect="00111B5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27FDF"/>
    <w:rsid w:val="000136B9"/>
    <w:rsid w:val="00030D44"/>
    <w:rsid w:val="00111B53"/>
    <w:rsid w:val="00127FDF"/>
    <w:rsid w:val="0016765A"/>
    <w:rsid w:val="00183942"/>
    <w:rsid w:val="0022774A"/>
    <w:rsid w:val="002325D2"/>
    <w:rsid w:val="002D48AE"/>
    <w:rsid w:val="00332F94"/>
    <w:rsid w:val="00380DC9"/>
    <w:rsid w:val="003A6A85"/>
    <w:rsid w:val="00443550"/>
    <w:rsid w:val="0047051A"/>
    <w:rsid w:val="004C6CBD"/>
    <w:rsid w:val="005477D9"/>
    <w:rsid w:val="00562CD2"/>
    <w:rsid w:val="0058630D"/>
    <w:rsid w:val="005B3755"/>
    <w:rsid w:val="005C1BB4"/>
    <w:rsid w:val="00642E61"/>
    <w:rsid w:val="008318EC"/>
    <w:rsid w:val="0088216C"/>
    <w:rsid w:val="00897FAF"/>
    <w:rsid w:val="008C10F4"/>
    <w:rsid w:val="008F0755"/>
    <w:rsid w:val="00A22E1C"/>
    <w:rsid w:val="00A37BAF"/>
    <w:rsid w:val="00AB57FB"/>
    <w:rsid w:val="00AF2B45"/>
    <w:rsid w:val="00B27062"/>
    <w:rsid w:val="00B271F7"/>
    <w:rsid w:val="00B7251C"/>
    <w:rsid w:val="00B87EFB"/>
    <w:rsid w:val="00BB518C"/>
    <w:rsid w:val="00C022DF"/>
    <w:rsid w:val="00C15E78"/>
    <w:rsid w:val="00C20373"/>
    <w:rsid w:val="00C45043"/>
    <w:rsid w:val="00C81532"/>
    <w:rsid w:val="00D4086A"/>
    <w:rsid w:val="00DA63BF"/>
    <w:rsid w:val="00E0032D"/>
    <w:rsid w:val="00E20D20"/>
    <w:rsid w:val="00E25D08"/>
    <w:rsid w:val="00ED18D8"/>
    <w:rsid w:val="00F44387"/>
    <w:rsid w:val="00F6407E"/>
    <w:rsid w:val="00F749F7"/>
    <w:rsid w:val="00F77E4C"/>
    <w:rsid w:val="00FF63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4C"/>
  </w:style>
  <w:style w:type="paragraph" w:styleId="Balk1">
    <w:name w:val="heading 1"/>
    <w:basedOn w:val="Normal"/>
    <w:next w:val="Normal"/>
    <w:link w:val="Balk1Char"/>
    <w:uiPriority w:val="9"/>
    <w:qFormat/>
    <w:rsid w:val="00167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6765A"/>
    <w:rPr>
      <w:b/>
      <w:bCs/>
    </w:rPr>
  </w:style>
  <w:style w:type="paragraph" w:styleId="NormalWeb">
    <w:name w:val="Normal (Web)"/>
    <w:basedOn w:val="Normal"/>
    <w:unhideWhenUsed/>
    <w:rsid w:val="001676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6765A"/>
    <w:rPr>
      <w:rFonts w:asciiTheme="majorHAnsi" w:eastAsiaTheme="majorEastAsia" w:hAnsiTheme="majorHAnsi" w:cstheme="majorBidi"/>
      <w:b/>
      <w:bCs/>
      <w:color w:val="365F91" w:themeColor="accent1" w:themeShade="BF"/>
      <w:sz w:val="28"/>
      <w:szCs w:val="28"/>
    </w:rPr>
  </w:style>
  <w:style w:type="paragraph" w:styleId="AralkYok">
    <w:name w:val="No Spacing"/>
    <w:qFormat/>
    <w:rsid w:val="00F6407E"/>
    <w:pPr>
      <w:suppressAutoHyphens/>
      <w:spacing w:after="0" w:line="100" w:lineRule="atLeast"/>
    </w:pPr>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56110">
      <w:bodyDiv w:val="1"/>
      <w:marLeft w:val="0"/>
      <w:marRight w:val="0"/>
      <w:marTop w:val="0"/>
      <w:marBottom w:val="0"/>
      <w:divBdr>
        <w:top w:val="none" w:sz="0" w:space="0" w:color="auto"/>
        <w:left w:val="none" w:sz="0" w:space="0" w:color="auto"/>
        <w:bottom w:val="none" w:sz="0" w:space="0" w:color="auto"/>
        <w:right w:val="none" w:sz="0" w:space="0" w:color="auto"/>
      </w:divBdr>
    </w:div>
    <w:div w:id="11113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KADIOGLU</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Tahsin</dc:creator>
  <cp:keywords/>
  <dc:description/>
  <cp:lastModifiedBy>Tahsin Mulhan</cp:lastModifiedBy>
  <cp:revision>311</cp:revision>
  <dcterms:created xsi:type="dcterms:W3CDTF">2013-03-11T09:25:00Z</dcterms:created>
  <dcterms:modified xsi:type="dcterms:W3CDTF">2016-03-11T14:04:00Z</dcterms:modified>
</cp:coreProperties>
</file>